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49016246"/>
      <w:bookmarkEnd w:id="1"/>
      <w:bookmarkStart w:id="2" w:name="_Hlt450066085"/>
      <w:bookmarkEnd w:id="2"/>
      <w:bookmarkStart w:id="3" w:name="_Hlt450051172"/>
      <w:bookmarkEnd w:id="3"/>
      <w:bookmarkStart w:id="4" w:name="_Hlt450039480"/>
      <w:bookmarkEnd w:id="4"/>
      <w:bookmarkStart w:id="5" w:name="_Hlt44893010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905537</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13</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17</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7-24GHz ancillary equipment EMC radiated emission test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10.4.8</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 xml:space="preserve">The radiated emission requirements has been discussed in the last meeting. As the new frequency range is introduced, the radiated emission for base station ancillary equipment should also be considered for higher frequency. In this contribution, we provide some analysis of the radiated emission requirement of ancillary equipment. </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For an ancillary equipment, its definition can be found in subcluase 3.1 of TS 38.113[1] as:</w:t>
      </w:r>
    </w:p>
    <w:p>
      <w:pPr>
        <w:rPr>
          <w:b/>
          <w:i/>
          <w:iCs/>
          <w:lang w:val="en-US"/>
        </w:rPr>
      </w:pPr>
      <w:r>
        <w:rPr>
          <w:b/>
          <w:i/>
          <w:iCs/>
          <w:lang w:val="en-US"/>
        </w:rPr>
        <w:t xml:space="preserve">ancillary equipment: </w:t>
      </w:r>
      <w:r>
        <w:rPr>
          <w:bCs/>
          <w:i/>
          <w:iCs/>
          <w:lang w:val="en-US"/>
        </w:rPr>
        <w:t>electrical or electronic equipment, that is intended to be used with a receiver or transmitter</w:t>
      </w:r>
    </w:p>
    <w:p>
      <w:pPr>
        <w:pStyle w:val="58"/>
        <w:rPr>
          <w:i/>
          <w:iCs/>
          <w:sz w:val="21"/>
          <w:szCs w:val="22"/>
          <w:lang w:val="en-US"/>
        </w:rPr>
      </w:pPr>
      <w:r>
        <w:rPr>
          <w:i/>
          <w:iCs/>
          <w:sz w:val="21"/>
          <w:szCs w:val="22"/>
          <w:lang w:val="en-US"/>
        </w:rPr>
        <w:t>NOTE:</w:t>
      </w:r>
      <w:r>
        <w:rPr>
          <w:i/>
          <w:iCs/>
          <w:sz w:val="21"/>
          <w:szCs w:val="22"/>
          <w:lang w:val="en-US"/>
        </w:rPr>
        <w:tab/>
      </w:r>
      <w:r>
        <w:rPr>
          <w:i/>
          <w:iCs/>
          <w:sz w:val="21"/>
          <w:szCs w:val="22"/>
          <w:lang w:val="en-US"/>
        </w:rPr>
        <w:t>It is considered as an ancillary equipment if:</w:t>
      </w:r>
    </w:p>
    <w:p>
      <w:pPr>
        <w:pStyle w:val="67"/>
        <w:rPr>
          <w:i/>
          <w:iCs/>
          <w:lang w:val="en-US"/>
        </w:rPr>
      </w:pPr>
      <w:r>
        <w:rPr>
          <w:rFonts w:hint="eastAsia" w:eastAsia="宋体"/>
          <w:i/>
          <w:iCs/>
          <w:lang w:val="en-US" w:eastAsia="zh-CN"/>
        </w:rPr>
        <w:t>-</w:t>
      </w:r>
      <w:r>
        <w:rPr>
          <w:rFonts w:hint="eastAsia" w:eastAsia="宋体"/>
          <w:i/>
          <w:iCs/>
          <w:lang w:val="en-US" w:eastAsia="zh-CN"/>
        </w:rPr>
        <w:tab/>
      </w:r>
      <w:r>
        <w:rPr>
          <w:i/>
          <w:iCs/>
          <w:lang w:val="en-US"/>
        </w:rPr>
        <w:t>the equipment is intended for use with a receiver or transmitter to provide additional operational and/or control features to the radio equipment, (e.g. to extend control to another position or location); and</w:t>
      </w:r>
    </w:p>
    <w:p>
      <w:pPr>
        <w:pStyle w:val="67"/>
        <w:rPr>
          <w:i/>
          <w:iCs/>
          <w:lang w:val="en-US"/>
        </w:rPr>
      </w:pPr>
      <w:r>
        <w:rPr>
          <w:rFonts w:hint="eastAsia" w:eastAsia="宋体"/>
          <w:i/>
          <w:iCs/>
          <w:lang w:val="en-US" w:eastAsia="zh-CN"/>
        </w:rPr>
        <w:t>-</w:t>
      </w:r>
      <w:r>
        <w:rPr>
          <w:rFonts w:hint="eastAsia" w:eastAsia="宋体"/>
          <w:i/>
          <w:iCs/>
          <w:lang w:val="en-US" w:eastAsia="zh-CN"/>
        </w:rPr>
        <w:tab/>
      </w:r>
      <w:r>
        <w:rPr>
          <w:i/>
          <w:iCs/>
          <w:lang w:val="en-US"/>
        </w:rPr>
        <w:t>the equipment cannot be used on a stand alone basis to provide user functions independently of a receiver or transmitter; and</w:t>
      </w:r>
    </w:p>
    <w:p>
      <w:pPr>
        <w:pStyle w:val="67"/>
        <w:rPr>
          <w:i/>
          <w:iCs/>
          <w:lang w:val="en-US"/>
        </w:rPr>
      </w:pPr>
      <w:r>
        <w:rPr>
          <w:rFonts w:hint="eastAsia" w:eastAsia="宋体"/>
          <w:i/>
          <w:iCs/>
          <w:lang w:val="en-US" w:eastAsia="zh-CN"/>
        </w:rPr>
        <w:t>-</w:t>
      </w:r>
      <w:r>
        <w:rPr>
          <w:rFonts w:hint="eastAsia" w:eastAsia="宋体"/>
          <w:i/>
          <w:iCs/>
          <w:lang w:val="en-US" w:eastAsia="zh-CN"/>
        </w:rPr>
        <w:tab/>
      </w:r>
      <w:r>
        <w:rPr>
          <w:i/>
          <w:iCs/>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 xml:space="preserve">From the first bullet point, the ancillary equipment is intended for use with a receiver or transmitter. Hence with the transmitter as a base station, the ancillary equipment must work with the BS without too much interference to the BS.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 xml:space="preserve">Currently, the radiated emission test is referring to CISPR 32[2] and the upper frequency limit is set to 6GHz. In the new frequency range as 7GHz to 24GHz, the emission level of an ancillary equipment is not defined above 6GHz. To protect the base station which cooperates with an ancillary equipment, the emission level of the AE should be limited to a certain level.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1: To study the RE requirement of ancillary equipment above 6GHz.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What</w:t>
      </w:r>
      <w:r>
        <w:rPr>
          <w:rFonts w:hint="default"/>
          <w:lang w:val="en-US" w:eastAsia="zh-CN"/>
        </w:rPr>
        <w:t>’</w:t>
      </w:r>
      <w:r>
        <w:rPr>
          <w:rFonts w:hint="eastAsia"/>
          <w:lang w:val="en-US" w:eastAsia="zh-CN"/>
        </w:rPr>
        <w:t xml:space="preserve">s more, currently there are ongoing discussion in organizations outside of 3GPP such as ITU-T WP1 and ETSI ERM WGEMC that both of them are doing research on radiated emission of unintentional radiators beyond 6GHz. In [3], it is provided that </w:t>
      </w:r>
      <w:r>
        <w:rPr>
          <w:rFonts w:hint="default"/>
          <w:lang w:val="en-US" w:eastAsia="zh-CN"/>
        </w:rPr>
        <w:t>“</w:t>
      </w:r>
      <w:r>
        <w:rPr>
          <w:rFonts w:hint="eastAsia"/>
          <w:lang w:val="en-US" w:eastAsia="zh-CN"/>
        </w:rPr>
        <w:t>5th harmonic of the highest frequency an AE generates or 40 GHz, whichever is lower</w:t>
      </w:r>
      <w:r>
        <w:rPr>
          <w:rFonts w:hint="default"/>
          <w:lang w:val="en-US" w:eastAsia="zh-CN"/>
        </w:rPr>
        <w:t>”</w:t>
      </w:r>
      <w:r>
        <w:rPr>
          <w:rFonts w:hint="eastAsia"/>
          <w:lang w:val="en-US" w:eastAsia="zh-CN"/>
        </w:rPr>
        <w:t xml:space="preserve"> as the highest frequency range and the limit is provided as:</w:t>
      </w:r>
    </w:p>
    <w:p>
      <w:pPr>
        <w:pStyle w:val="30"/>
        <w:keepNext/>
        <w:spacing w:line="360" w:lineRule="auto"/>
        <w:jc w:val="center"/>
        <w:rPr>
          <w:rFonts w:hint="eastAsia"/>
          <w:lang w:val="en-US" w:eastAsia="zh-CN"/>
        </w:rPr>
      </w:pPr>
      <w:bookmarkStart w:id="7" w:name="_Ref532582520"/>
      <w:r>
        <w:rPr>
          <w:rFonts w:ascii="Arial" w:hAnsi="Arial" w:eastAsia="宋体" w:cs="Arial"/>
        </w:rPr>
        <w:t xml:space="preserve">Table </w:t>
      </w:r>
      <w:bookmarkEnd w:id="7"/>
      <w:r>
        <w:rPr>
          <w:rFonts w:hint="eastAsia" w:ascii="Arial" w:hAnsi="Arial" w:eastAsia="宋体" w:cs="Arial"/>
          <w:lang w:val="en-US" w:eastAsia="zh-CN"/>
        </w:rPr>
        <w:t>1</w:t>
      </w:r>
      <w:r>
        <w:rPr>
          <w:rFonts w:ascii="Arial" w:hAnsi="Arial" w:eastAsia="宋体" w:cs="Arial"/>
        </w:rPr>
        <w:t xml:space="preserve"> Radiated emission above 6 GHz</w:t>
      </w:r>
    </w:p>
    <w:tbl>
      <w:tblPr>
        <w:tblStyle w:val="53"/>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334"/>
        <w:gridCol w:w="1256"/>
        <w:gridCol w:w="2335"/>
        <w:gridCol w:w="1667"/>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2" w:type="dxa"/>
            <w:vAlign w:val="center"/>
          </w:tcPr>
          <w:p>
            <w:pPr>
              <w:jc w:val="center"/>
              <w:rPr>
                <w:rFonts w:ascii="Arial" w:hAnsi="Arial" w:eastAsia="宋体" w:cs="Arial"/>
                <w:b/>
                <w:kern w:val="2"/>
                <w:sz w:val="21"/>
                <w:szCs w:val="22"/>
                <w:lang w:val="en-US"/>
              </w:rPr>
            </w:pPr>
            <w:r>
              <w:rPr>
                <w:rFonts w:ascii="Arial" w:hAnsi="Arial" w:eastAsia="宋体" w:cs="Arial"/>
                <w:b/>
                <w:kern w:val="2"/>
                <w:sz w:val="21"/>
                <w:szCs w:val="22"/>
                <w:lang w:val="en-US"/>
              </w:rPr>
              <w:t>Frequency range（GHz）</w:t>
            </w:r>
          </w:p>
        </w:tc>
        <w:tc>
          <w:tcPr>
            <w:tcW w:w="1334" w:type="dxa"/>
            <w:vAlign w:val="center"/>
          </w:tcPr>
          <w:p>
            <w:pPr>
              <w:jc w:val="center"/>
              <w:rPr>
                <w:rFonts w:ascii="Arial" w:hAnsi="Arial" w:eastAsia="宋体" w:cs="Arial"/>
                <w:b/>
                <w:kern w:val="2"/>
                <w:sz w:val="21"/>
                <w:szCs w:val="22"/>
                <w:lang w:val="en-US"/>
              </w:rPr>
            </w:pPr>
            <w:r>
              <w:rPr>
                <w:rFonts w:ascii="Arial" w:hAnsi="Arial" w:eastAsia="宋体" w:cs="Arial"/>
                <w:b/>
                <w:kern w:val="2"/>
                <w:sz w:val="21"/>
                <w:szCs w:val="22"/>
                <w:lang w:val="en-US"/>
              </w:rPr>
              <w:t>Test site</w:t>
            </w:r>
          </w:p>
        </w:tc>
        <w:tc>
          <w:tcPr>
            <w:tcW w:w="1256" w:type="dxa"/>
            <w:vAlign w:val="center"/>
          </w:tcPr>
          <w:p>
            <w:pPr>
              <w:jc w:val="center"/>
              <w:rPr>
                <w:rFonts w:ascii="Arial" w:hAnsi="Arial" w:eastAsia="宋体" w:cs="Arial"/>
                <w:b/>
                <w:kern w:val="2"/>
                <w:sz w:val="21"/>
                <w:szCs w:val="22"/>
                <w:lang w:val="en-US"/>
              </w:rPr>
            </w:pPr>
            <w:r>
              <w:rPr>
                <w:rFonts w:ascii="Arial" w:hAnsi="Arial" w:eastAsia="宋体" w:cs="Arial"/>
                <w:b/>
                <w:kern w:val="2"/>
                <w:sz w:val="21"/>
                <w:szCs w:val="22"/>
                <w:lang w:val="en-US"/>
              </w:rPr>
              <w:t>Test distance（m）</w:t>
            </w:r>
          </w:p>
        </w:tc>
        <w:tc>
          <w:tcPr>
            <w:tcW w:w="2335" w:type="dxa"/>
            <w:vAlign w:val="center"/>
          </w:tcPr>
          <w:p>
            <w:pPr>
              <w:jc w:val="center"/>
              <w:rPr>
                <w:rFonts w:ascii="Arial" w:hAnsi="Arial" w:eastAsia="宋体" w:cs="Arial"/>
                <w:b/>
                <w:kern w:val="2"/>
                <w:sz w:val="21"/>
                <w:szCs w:val="22"/>
                <w:lang w:val="en-US"/>
              </w:rPr>
            </w:pPr>
            <w:r>
              <w:rPr>
                <w:rFonts w:hint="eastAsia" w:ascii="Arial" w:hAnsi="Arial" w:eastAsia="宋体" w:cs="Arial"/>
                <w:b/>
                <w:kern w:val="2"/>
                <w:sz w:val="21"/>
                <w:szCs w:val="22"/>
                <w:lang w:val="en-US"/>
              </w:rPr>
              <w:t>D</w:t>
            </w:r>
            <w:r>
              <w:rPr>
                <w:rFonts w:ascii="Arial" w:hAnsi="Arial" w:eastAsia="宋体" w:cs="Arial"/>
                <w:b/>
                <w:kern w:val="2"/>
                <w:sz w:val="21"/>
                <w:szCs w:val="22"/>
                <w:lang w:val="en-US"/>
              </w:rPr>
              <w:t>etection method/BW</w:t>
            </w:r>
          </w:p>
        </w:tc>
        <w:tc>
          <w:tcPr>
            <w:tcW w:w="1667" w:type="dxa"/>
            <w:vAlign w:val="center"/>
          </w:tcPr>
          <w:p>
            <w:pPr>
              <w:jc w:val="center"/>
              <w:rPr>
                <w:rFonts w:ascii="Arial" w:hAnsi="Arial" w:eastAsia="宋体" w:cs="Arial"/>
                <w:b/>
                <w:kern w:val="2"/>
                <w:sz w:val="21"/>
                <w:szCs w:val="22"/>
                <w:lang w:val="en-US"/>
              </w:rPr>
            </w:pPr>
            <w:r>
              <w:rPr>
                <w:rFonts w:ascii="Arial" w:hAnsi="Arial" w:eastAsia="宋体" w:cs="Arial"/>
                <w:b/>
                <w:kern w:val="2"/>
                <w:sz w:val="21"/>
                <w:szCs w:val="22"/>
                <w:lang w:val="en-US"/>
              </w:rPr>
              <w:t>Class A Limit</w:t>
            </w:r>
          </w:p>
          <w:p>
            <w:pPr>
              <w:jc w:val="center"/>
              <w:rPr>
                <w:rFonts w:ascii="Arial" w:hAnsi="Arial" w:eastAsia="宋体" w:cs="Arial"/>
                <w:b/>
                <w:kern w:val="2"/>
                <w:sz w:val="21"/>
                <w:szCs w:val="22"/>
                <w:lang w:val="en-US"/>
              </w:rPr>
            </w:pPr>
            <w:r>
              <w:rPr>
                <w:rFonts w:ascii="Arial" w:hAnsi="Arial" w:eastAsia="宋体" w:cs="Arial"/>
                <w:b/>
                <w:kern w:val="2"/>
                <w:sz w:val="21"/>
                <w:szCs w:val="22"/>
                <w:lang w:val="en-US"/>
              </w:rPr>
              <w:t>dB (μV/m)</w:t>
            </w:r>
          </w:p>
        </w:tc>
        <w:tc>
          <w:tcPr>
            <w:tcW w:w="1761" w:type="dxa"/>
          </w:tcPr>
          <w:p>
            <w:pPr>
              <w:jc w:val="center"/>
              <w:rPr>
                <w:rFonts w:ascii="Arial" w:hAnsi="Arial" w:eastAsia="宋体" w:cs="Arial"/>
                <w:b/>
                <w:kern w:val="2"/>
                <w:sz w:val="21"/>
                <w:szCs w:val="22"/>
                <w:lang w:val="en-US"/>
              </w:rPr>
            </w:pPr>
            <w:r>
              <w:rPr>
                <w:rFonts w:ascii="Arial" w:hAnsi="Arial" w:eastAsia="宋体" w:cs="Arial"/>
                <w:b/>
                <w:kern w:val="2"/>
                <w:sz w:val="21"/>
                <w:szCs w:val="22"/>
                <w:lang w:val="en-US"/>
              </w:rPr>
              <w:t>Class B Limit</w:t>
            </w:r>
          </w:p>
          <w:p>
            <w:pPr>
              <w:jc w:val="center"/>
              <w:rPr>
                <w:rFonts w:ascii="Arial" w:hAnsi="Arial" w:eastAsia="宋体" w:cs="Arial"/>
                <w:b/>
                <w:kern w:val="2"/>
                <w:sz w:val="21"/>
                <w:szCs w:val="22"/>
                <w:lang w:val="en-US"/>
              </w:rPr>
            </w:pPr>
            <w:r>
              <w:rPr>
                <w:rFonts w:ascii="Arial" w:hAnsi="Arial" w:eastAsia="宋体" w:cs="Arial"/>
                <w:b/>
                <w:kern w:val="2"/>
                <w:sz w:val="21"/>
                <w:szCs w:val="22"/>
                <w:lang w:val="en-US"/>
              </w:rPr>
              <w:t>dB (μV/m)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2"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6 to 40</w:t>
            </w:r>
          </w:p>
        </w:tc>
        <w:tc>
          <w:tcPr>
            <w:tcW w:w="1334"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FSOATS</w:t>
            </w:r>
          </w:p>
        </w:tc>
        <w:tc>
          <w:tcPr>
            <w:tcW w:w="1256"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3</w:t>
            </w:r>
          </w:p>
        </w:tc>
        <w:tc>
          <w:tcPr>
            <w:tcW w:w="2335"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Average detector</w:t>
            </w:r>
          </w:p>
          <w:p>
            <w:pPr>
              <w:jc w:val="center"/>
              <w:rPr>
                <w:rFonts w:ascii="Arial" w:hAnsi="Arial" w:eastAsia="宋体" w:cs="Arial"/>
                <w:kern w:val="2"/>
                <w:sz w:val="21"/>
                <w:szCs w:val="22"/>
                <w:lang w:val="en-US"/>
              </w:rPr>
            </w:pPr>
            <w:r>
              <w:rPr>
                <w:rFonts w:ascii="Arial" w:hAnsi="Arial" w:eastAsia="宋体" w:cs="Arial"/>
                <w:kern w:val="2"/>
                <w:sz w:val="21"/>
                <w:szCs w:val="22"/>
                <w:lang w:val="en-US"/>
              </w:rPr>
              <w:t>1MHz</w:t>
            </w:r>
          </w:p>
        </w:tc>
        <w:tc>
          <w:tcPr>
            <w:tcW w:w="1667"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60</w:t>
            </w:r>
          </w:p>
        </w:tc>
        <w:tc>
          <w:tcPr>
            <w:tcW w:w="1761"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02"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6 to 40</w:t>
            </w:r>
          </w:p>
        </w:tc>
        <w:tc>
          <w:tcPr>
            <w:tcW w:w="1334"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FSOATS</w:t>
            </w:r>
          </w:p>
        </w:tc>
        <w:tc>
          <w:tcPr>
            <w:tcW w:w="1256"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3</w:t>
            </w:r>
          </w:p>
        </w:tc>
        <w:tc>
          <w:tcPr>
            <w:tcW w:w="2335"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 xml:space="preserve">Peak detector </w:t>
            </w:r>
          </w:p>
          <w:p>
            <w:pPr>
              <w:jc w:val="center"/>
              <w:rPr>
                <w:rFonts w:ascii="Arial" w:hAnsi="Arial" w:eastAsia="宋体" w:cs="Arial"/>
                <w:kern w:val="2"/>
                <w:sz w:val="21"/>
                <w:szCs w:val="22"/>
                <w:lang w:val="en-US"/>
              </w:rPr>
            </w:pPr>
            <w:r>
              <w:rPr>
                <w:rFonts w:ascii="Arial" w:hAnsi="Arial" w:eastAsia="宋体" w:cs="Arial"/>
                <w:kern w:val="2"/>
                <w:sz w:val="21"/>
                <w:szCs w:val="22"/>
                <w:lang w:val="en-US"/>
              </w:rPr>
              <w:t>1MHz</w:t>
            </w:r>
          </w:p>
        </w:tc>
        <w:tc>
          <w:tcPr>
            <w:tcW w:w="1667"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80</w:t>
            </w:r>
          </w:p>
        </w:tc>
        <w:tc>
          <w:tcPr>
            <w:tcW w:w="1761" w:type="dxa"/>
            <w:vAlign w:val="center"/>
          </w:tcPr>
          <w:p>
            <w:pPr>
              <w:jc w:val="center"/>
              <w:rPr>
                <w:rFonts w:ascii="Arial" w:hAnsi="Arial" w:eastAsia="宋体" w:cs="Arial"/>
                <w:kern w:val="2"/>
                <w:sz w:val="21"/>
                <w:szCs w:val="22"/>
                <w:lang w:val="en-US"/>
              </w:rPr>
            </w:pPr>
            <w:r>
              <w:rPr>
                <w:rFonts w:ascii="Arial" w:hAnsi="Arial" w:eastAsia="宋体" w:cs="Arial"/>
                <w:kern w:val="2"/>
                <w:sz w:val="21"/>
                <w:szCs w:val="22"/>
                <w:lang w:val="en-US"/>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5" w:type="dxa"/>
            <w:gridSpan w:val="6"/>
            <w:vAlign w:val="center"/>
          </w:tcPr>
          <w:p>
            <w:pPr>
              <w:rPr>
                <w:rFonts w:ascii="Arial" w:hAnsi="Arial" w:eastAsia="宋体" w:cs="Arial"/>
                <w:kern w:val="2"/>
                <w:sz w:val="21"/>
                <w:szCs w:val="22"/>
                <w:lang w:val="en-US" w:eastAsia="zh-CN"/>
              </w:rPr>
            </w:pPr>
            <w:r>
              <w:rPr>
                <w:rFonts w:ascii="Arial" w:hAnsi="Arial" w:eastAsia="宋体" w:cs="Arial"/>
                <w:kern w:val="2"/>
                <w:sz w:val="21"/>
                <w:szCs w:val="22"/>
                <w:lang w:val="en-US" w:eastAsia="zh-CN"/>
              </w:rPr>
              <w:t>Note：For frequency over 18 GHz，it is allowed to apply other test distance, such as 1 m. In this case, the limit shall be adjusted in the ratio of 20log (</w:t>
            </w:r>
            <w:r>
              <w:rPr>
                <w:rFonts w:ascii="Arial" w:hAnsi="Arial" w:eastAsia="宋体" w:cs="Arial"/>
                <w:i/>
                <w:kern w:val="2"/>
                <w:sz w:val="21"/>
                <w:szCs w:val="22"/>
                <w:lang w:val="en-US" w:eastAsia="zh-CN"/>
              </w:rPr>
              <w:t>d</w:t>
            </w:r>
            <w:r>
              <w:rPr>
                <w:rFonts w:ascii="Arial" w:hAnsi="Arial" w:eastAsia="宋体" w:cs="Arial"/>
                <w:kern w:val="2"/>
                <w:sz w:val="21"/>
                <w:szCs w:val="22"/>
                <w:vertAlign w:val="subscript"/>
                <w:lang w:val="en-US" w:eastAsia="zh-CN"/>
              </w:rPr>
              <w:t>1</w:t>
            </w:r>
            <w:r>
              <w:rPr>
                <w:rFonts w:ascii="Arial" w:hAnsi="Arial" w:eastAsia="宋体" w:cs="Arial"/>
                <w:kern w:val="2"/>
                <w:sz w:val="21"/>
                <w:szCs w:val="22"/>
                <w:lang w:val="en-US" w:eastAsia="zh-CN"/>
              </w:rPr>
              <w:t>/</w:t>
            </w:r>
            <w:r>
              <w:rPr>
                <w:rFonts w:ascii="Arial" w:hAnsi="Arial" w:eastAsia="宋体" w:cs="Arial"/>
                <w:i/>
                <w:kern w:val="2"/>
                <w:sz w:val="21"/>
                <w:szCs w:val="22"/>
                <w:lang w:val="en-US" w:eastAsia="zh-CN"/>
              </w:rPr>
              <w:t>d</w:t>
            </w:r>
            <w:r>
              <w:rPr>
                <w:rFonts w:ascii="Arial" w:hAnsi="Arial" w:eastAsia="宋体" w:cs="Arial"/>
                <w:kern w:val="2"/>
                <w:sz w:val="21"/>
                <w:szCs w:val="22"/>
                <w:vertAlign w:val="subscript"/>
                <w:lang w:val="en-US" w:eastAsia="zh-CN"/>
              </w:rPr>
              <w:t>2</w:t>
            </w:r>
            <w:r>
              <w:rPr>
                <w:rFonts w:ascii="Arial" w:hAnsi="Arial" w:eastAsia="宋体" w:cs="Arial"/>
                <w:kern w:val="2"/>
                <w:sz w:val="21"/>
                <w:szCs w:val="22"/>
                <w:lang w:val="en-US" w:eastAsia="zh-CN"/>
              </w:rPr>
              <w:t>)。</w:t>
            </w:r>
          </w:p>
        </w:tc>
      </w:tr>
    </w:tbl>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lang w:val="en-US" w:eastAsia="zh-CN"/>
        </w:rPr>
      </w:pP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lang w:val="en-US" w:eastAsia="zh-CN"/>
        </w:rPr>
      </w:pPr>
      <w:r>
        <w:rPr>
          <w:rFonts w:hint="eastAsia"/>
          <w:lang w:val="en-US" w:eastAsia="zh-CN"/>
        </w:rPr>
        <w:t>This can be a starting point if we want to study on the RE EMC requirements of an ancillary equipment.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2: Use the table 1 in this document as a starting point for RE requirement of an ancillary equipment.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RE requirement of ancillary equipment and proposals are: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1: To study the RE requirement of ancillary equipment above 6GHz.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2: Use the table 1 in this document as a starting point for RE requirement of an ancillary equipment.</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TS 38.113 v15.5.0</w:t>
      </w:r>
      <w:bookmarkStart w:id="8" w:name="_GoBack"/>
      <w:bookmarkEnd w:id="8"/>
    </w:p>
    <w:p>
      <w:pPr>
        <w:pStyle w:val="93"/>
        <w:rPr>
          <w:rFonts w:hint="eastAsia"/>
          <w:lang w:val="en-US" w:eastAsia="zh-CN"/>
        </w:rPr>
      </w:pPr>
      <w:r>
        <w:rPr>
          <w:rFonts w:hint="eastAsia"/>
          <w:lang w:val="en-US" w:eastAsia="zh-CN"/>
        </w:rPr>
        <w:t>CISPR 32</w:t>
      </w:r>
    </w:p>
    <w:p>
      <w:pPr>
        <w:pStyle w:val="93"/>
        <w:rPr>
          <w:rFonts w:hint="eastAsia"/>
          <w:lang w:val="en-US" w:eastAsia="zh-CN"/>
        </w:rPr>
      </w:pPr>
      <w:r>
        <w:rPr>
          <w:rFonts w:hint="eastAsia"/>
          <w:lang w:val="en-US" w:eastAsia="zh-CN"/>
        </w:rPr>
        <w:t>ETSI TS 103 569 v1.0.0</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4763DB6"/>
    <w:rsid w:val="047C7717"/>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CE6ABD"/>
    <w:rsid w:val="12116912"/>
    <w:rsid w:val="1354200B"/>
    <w:rsid w:val="13867FC8"/>
    <w:rsid w:val="139C0323"/>
    <w:rsid w:val="15B13CC5"/>
    <w:rsid w:val="166C0F69"/>
    <w:rsid w:val="169E6FF0"/>
    <w:rsid w:val="176F3E0E"/>
    <w:rsid w:val="18244A12"/>
    <w:rsid w:val="19553F68"/>
    <w:rsid w:val="19E510C0"/>
    <w:rsid w:val="1A670C75"/>
    <w:rsid w:val="1BB41235"/>
    <w:rsid w:val="1BDD4E03"/>
    <w:rsid w:val="1C3E5BEE"/>
    <w:rsid w:val="1D000C57"/>
    <w:rsid w:val="1D9D6581"/>
    <w:rsid w:val="1E4067BA"/>
    <w:rsid w:val="1E9A2C7A"/>
    <w:rsid w:val="1F4443F8"/>
    <w:rsid w:val="1F697F0E"/>
    <w:rsid w:val="1F825716"/>
    <w:rsid w:val="20484B28"/>
    <w:rsid w:val="205270E7"/>
    <w:rsid w:val="20B1597C"/>
    <w:rsid w:val="21107C64"/>
    <w:rsid w:val="21472AD0"/>
    <w:rsid w:val="21C109E9"/>
    <w:rsid w:val="21D67E69"/>
    <w:rsid w:val="222D2822"/>
    <w:rsid w:val="225847F9"/>
    <w:rsid w:val="23597F29"/>
    <w:rsid w:val="24541EC9"/>
    <w:rsid w:val="25BE15D6"/>
    <w:rsid w:val="26472AAA"/>
    <w:rsid w:val="277059BF"/>
    <w:rsid w:val="277F612D"/>
    <w:rsid w:val="27BA255A"/>
    <w:rsid w:val="288B0F82"/>
    <w:rsid w:val="28E63C49"/>
    <w:rsid w:val="29C43C65"/>
    <w:rsid w:val="29D25E5C"/>
    <w:rsid w:val="2A351867"/>
    <w:rsid w:val="2C936C30"/>
    <w:rsid w:val="2CD613D2"/>
    <w:rsid w:val="2D153347"/>
    <w:rsid w:val="2D2A1CF1"/>
    <w:rsid w:val="2DAF0FA0"/>
    <w:rsid w:val="2E0A65A8"/>
    <w:rsid w:val="2F7808DB"/>
    <w:rsid w:val="30885017"/>
    <w:rsid w:val="31C725D8"/>
    <w:rsid w:val="31E70315"/>
    <w:rsid w:val="32352858"/>
    <w:rsid w:val="33957597"/>
    <w:rsid w:val="339C289B"/>
    <w:rsid w:val="33AC3E9B"/>
    <w:rsid w:val="346B6A82"/>
    <w:rsid w:val="35CD640B"/>
    <w:rsid w:val="35DA3A34"/>
    <w:rsid w:val="377F030D"/>
    <w:rsid w:val="381708BF"/>
    <w:rsid w:val="388E4CAC"/>
    <w:rsid w:val="38B038AB"/>
    <w:rsid w:val="39BD0890"/>
    <w:rsid w:val="39EF3888"/>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4FD35A1"/>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23364F3"/>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5ED19B5"/>
    <w:rsid w:val="66593A9F"/>
    <w:rsid w:val="672762CB"/>
    <w:rsid w:val="67A84266"/>
    <w:rsid w:val="68FE10CA"/>
    <w:rsid w:val="69954D46"/>
    <w:rsid w:val="6A650E24"/>
    <w:rsid w:val="6AB03EB3"/>
    <w:rsid w:val="6C560643"/>
    <w:rsid w:val="6C5C4755"/>
    <w:rsid w:val="6CC47F20"/>
    <w:rsid w:val="6D250CAB"/>
    <w:rsid w:val="6D6A226E"/>
    <w:rsid w:val="6D9E564E"/>
    <w:rsid w:val="6E647BAA"/>
    <w:rsid w:val="6E6C55F9"/>
    <w:rsid w:val="6E73050D"/>
    <w:rsid w:val="6ED8743F"/>
    <w:rsid w:val="6F166551"/>
    <w:rsid w:val="6F7A5B80"/>
    <w:rsid w:val="70994298"/>
    <w:rsid w:val="70A779CE"/>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2019-04-30T07:55:55Z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